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29" w:rsidRDefault="002410F2" w:rsidP="002B54EC">
      <w:pPr>
        <w:jc w:val="center"/>
        <w:rPr>
          <w:rFonts w:ascii="Arial" w:hAnsi="Arial" w:cs="Arial"/>
          <w:b/>
          <w:sz w:val="40"/>
          <w:szCs w:val="40"/>
        </w:rPr>
      </w:pPr>
      <w:r>
        <w:rPr>
          <w:rFonts w:ascii="Arial" w:hAnsi="Arial" w:cs="Arial"/>
          <w:b/>
          <w:sz w:val="40"/>
          <w:szCs w:val="40"/>
        </w:rPr>
        <w:t>Second</w:t>
      </w:r>
      <w:r w:rsidR="002B54EC" w:rsidRPr="0072078D">
        <w:rPr>
          <w:rFonts w:ascii="Arial" w:hAnsi="Arial" w:cs="Arial"/>
          <w:b/>
          <w:sz w:val="40"/>
          <w:szCs w:val="40"/>
        </w:rPr>
        <w:t xml:space="preserve"> Grade </w:t>
      </w:r>
      <w:r w:rsidR="0072078D">
        <w:rPr>
          <w:rFonts w:ascii="Arial" w:hAnsi="Arial" w:cs="Arial"/>
          <w:b/>
          <w:sz w:val="40"/>
          <w:szCs w:val="40"/>
        </w:rPr>
        <w:t xml:space="preserve">Reading </w:t>
      </w:r>
      <w:r w:rsidR="002B54EC" w:rsidRPr="0072078D">
        <w:rPr>
          <w:rFonts w:ascii="Arial" w:hAnsi="Arial" w:cs="Arial"/>
          <w:b/>
          <w:sz w:val="40"/>
          <w:szCs w:val="40"/>
        </w:rPr>
        <w:t>Scope and Sequence</w:t>
      </w:r>
    </w:p>
    <w:p w:rsidR="008A2172" w:rsidRPr="0072078D" w:rsidRDefault="008A2172" w:rsidP="002B54EC">
      <w:pPr>
        <w:jc w:val="center"/>
        <w:rPr>
          <w:rFonts w:ascii="Arial" w:hAnsi="Arial" w:cs="Arial"/>
          <w:b/>
          <w:sz w:val="40"/>
          <w:szCs w:val="4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85"/>
        <w:gridCol w:w="4410"/>
        <w:gridCol w:w="5040"/>
        <w:gridCol w:w="3600"/>
      </w:tblGrid>
      <w:tr w:rsidR="002B54EC" w:rsidTr="0072078D">
        <w:tc>
          <w:tcPr>
            <w:tcW w:w="1885"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MONTH:</w:t>
            </w:r>
          </w:p>
        </w:tc>
        <w:tc>
          <w:tcPr>
            <w:tcW w:w="4410"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UNIT TITLE:</w:t>
            </w:r>
          </w:p>
        </w:tc>
        <w:tc>
          <w:tcPr>
            <w:tcW w:w="5040"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UNIT DESCRIPTION</w:t>
            </w:r>
          </w:p>
        </w:tc>
        <w:tc>
          <w:tcPr>
            <w:tcW w:w="3600"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UNIT STANDARDS</w:t>
            </w:r>
          </w:p>
        </w:tc>
      </w:tr>
      <w:tr w:rsidR="002B54EC" w:rsidRPr="00015529" w:rsidTr="00015529">
        <w:tc>
          <w:tcPr>
            <w:tcW w:w="1885" w:type="dxa"/>
            <w:vAlign w:val="center"/>
          </w:tcPr>
          <w:p w:rsidR="002B54EC" w:rsidRPr="002410F2" w:rsidRDefault="002B54EC" w:rsidP="002410F2">
            <w:pPr>
              <w:jc w:val="center"/>
              <w:rPr>
                <w:rFonts w:ascii="Arial" w:hAnsi="Arial" w:cs="Arial"/>
                <w:sz w:val="20"/>
                <w:szCs w:val="20"/>
              </w:rPr>
            </w:pPr>
            <w:r w:rsidRPr="002410F2">
              <w:rPr>
                <w:rFonts w:ascii="Arial" w:hAnsi="Arial" w:cs="Arial"/>
                <w:sz w:val="20"/>
                <w:szCs w:val="20"/>
              </w:rPr>
              <w:t>September</w:t>
            </w:r>
          </w:p>
        </w:tc>
        <w:tc>
          <w:tcPr>
            <w:tcW w:w="4410" w:type="dxa"/>
            <w:vAlign w:val="center"/>
          </w:tcPr>
          <w:p w:rsidR="002B54EC" w:rsidRPr="002410F2" w:rsidRDefault="0072078D" w:rsidP="002410F2">
            <w:pPr>
              <w:jc w:val="center"/>
              <w:rPr>
                <w:rFonts w:ascii="Arial" w:eastAsia="Times New Roman" w:hAnsi="Arial" w:cs="Arial"/>
                <w:color w:val="111111"/>
                <w:sz w:val="20"/>
                <w:szCs w:val="20"/>
              </w:rPr>
            </w:pPr>
            <w:r w:rsidRPr="002410F2">
              <w:rPr>
                <w:rFonts w:ascii="Arial" w:hAnsi="Arial" w:cs="Arial"/>
                <w:b/>
                <w:sz w:val="20"/>
                <w:szCs w:val="20"/>
              </w:rPr>
              <w:t>UNIT 1:</w:t>
            </w:r>
            <w:r w:rsidR="002410F2" w:rsidRPr="002410F2">
              <w:rPr>
                <w:rFonts w:ascii="Arial" w:eastAsia="Times New Roman" w:hAnsi="Arial" w:cs="Arial"/>
                <w:color w:val="111111"/>
                <w:sz w:val="20"/>
                <w:szCs w:val="20"/>
              </w:rPr>
              <w:t xml:space="preserve"> </w:t>
            </w:r>
            <w:r w:rsidR="002410F2" w:rsidRPr="002410F2">
              <w:rPr>
                <w:rFonts w:ascii="Arial" w:eastAsia="Times New Roman" w:hAnsi="Arial" w:cs="Arial"/>
                <w:color w:val="000000"/>
                <w:sz w:val="20"/>
                <w:szCs w:val="20"/>
              </w:rPr>
              <w:t>Taking Charge of Reading</w:t>
            </w:r>
          </w:p>
        </w:tc>
        <w:tc>
          <w:tcPr>
            <w:tcW w:w="504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 xml:space="preserve">This unit entails helping children make decisions based on habits, volume and stamina. Students will learn that reading is thinking-before, during and after. </w:t>
            </w:r>
            <w:r w:rsidRPr="002410F2">
              <w:rPr>
                <w:rFonts w:ascii="Arial" w:hAnsi="Arial" w:cs="Arial"/>
                <w:color w:val="111111"/>
                <w:sz w:val="20"/>
                <w:szCs w:val="20"/>
              </w:rPr>
              <w:t>They</w:t>
            </w:r>
            <w:r w:rsidRPr="002410F2">
              <w:rPr>
                <w:rFonts w:ascii="Arial" w:hAnsi="Arial" w:cs="Arial"/>
                <w:color w:val="111111"/>
                <w:sz w:val="20"/>
                <w:szCs w:val="20"/>
              </w:rPr>
              <w:t xml:space="preserve"> will talk to partners to grow ideas and become independent problem solvers.</w:t>
            </w:r>
          </w:p>
        </w:tc>
        <w:tc>
          <w:tcPr>
            <w:tcW w:w="360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2.RL.1, 2.RL.5, 2.RL.7, 2.RL.10, 2.RI.1, 2.RF.4, 2.SL.1, 2.L.4</w:t>
            </w:r>
          </w:p>
        </w:tc>
      </w:tr>
      <w:tr w:rsidR="002B54EC" w:rsidRPr="00015529" w:rsidTr="00015529">
        <w:trPr>
          <w:trHeight w:val="666"/>
        </w:trPr>
        <w:tc>
          <w:tcPr>
            <w:tcW w:w="1885" w:type="dxa"/>
            <w:vAlign w:val="center"/>
          </w:tcPr>
          <w:p w:rsidR="002B54EC" w:rsidRPr="002410F2" w:rsidRDefault="002B54EC" w:rsidP="002410F2">
            <w:pPr>
              <w:jc w:val="center"/>
              <w:rPr>
                <w:rFonts w:ascii="Arial" w:hAnsi="Arial" w:cs="Arial"/>
                <w:sz w:val="20"/>
                <w:szCs w:val="20"/>
              </w:rPr>
            </w:pPr>
          </w:p>
          <w:p w:rsidR="002B54EC" w:rsidRPr="002410F2" w:rsidRDefault="002410F2" w:rsidP="002410F2">
            <w:pPr>
              <w:jc w:val="center"/>
              <w:rPr>
                <w:rFonts w:ascii="Arial" w:hAnsi="Arial" w:cs="Arial"/>
                <w:sz w:val="20"/>
                <w:szCs w:val="20"/>
              </w:rPr>
            </w:pPr>
            <w:r w:rsidRPr="002410F2">
              <w:rPr>
                <w:rFonts w:ascii="Arial" w:hAnsi="Arial" w:cs="Arial"/>
                <w:sz w:val="20"/>
                <w:szCs w:val="20"/>
              </w:rPr>
              <w:t>October</w:t>
            </w:r>
          </w:p>
          <w:p w:rsidR="002B54EC" w:rsidRPr="002410F2" w:rsidRDefault="002B54EC" w:rsidP="002410F2">
            <w:pPr>
              <w:jc w:val="center"/>
              <w:rPr>
                <w:rFonts w:ascii="Arial" w:hAnsi="Arial" w:cs="Arial"/>
                <w:sz w:val="20"/>
                <w:szCs w:val="20"/>
              </w:rPr>
            </w:pPr>
          </w:p>
        </w:tc>
        <w:tc>
          <w:tcPr>
            <w:tcW w:w="4410" w:type="dxa"/>
            <w:vAlign w:val="center"/>
          </w:tcPr>
          <w:p w:rsidR="002B54EC" w:rsidRPr="002410F2" w:rsidRDefault="0072078D" w:rsidP="002410F2">
            <w:pPr>
              <w:jc w:val="center"/>
              <w:rPr>
                <w:rFonts w:ascii="Arial" w:eastAsia="Times New Roman" w:hAnsi="Arial" w:cs="Arial"/>
                <w:color w:val="111111"/>
                <w:sz w:val="20"/>
                <w:szCs w:val="20"/>
              </w:rPr>
            </w:pPr>
            <w:r w:rsidRPr="002410F2">
              <w:rPr>
                <w:rFonts w:ascii="Arial" w:hAnsi="Arial" w:cs="Arial"/>
                <w:b/>
                <w:sz w:val="20"/>
                <w:szCs w:val="20"/>
              </w:rPr>
              <w:t>UNIT 2:</w:t>
            </w:r>
            <w:r w:rsidRPr="002410F2">
              <w:rPr>
                <w:rFonts w:ascii="Arial" w:hAnsi="Arial" w:cs="Arial"/>
                <w:sz w:val="20"/>
                <w:szCs w:val="20"/>
              </w:rPr>
              <w:t xml:space="preserve"> </w:t>
            </w:r>
            <w:r w:rsidR="002410F2" w:rsidRPr="002410F2">
              <w:rPr>
                <w:rFonts w:ascii="Arial" w:eastAsia="Times New Roman" w:hAnsi="Arial" w:cs="Arial"/>
                <w:color w:val="111111"/>
                <w:sz w:val="20"/>
                <w:szCs w:val="20"/>
              </w:rPr>
              <w:t>Tackling Trouble: Assessment-Based Small-Group Work</w:t>
            </w:r>
          </w:p>
        </w:tc>
        <w:tc>
          <w:tcPr>
            <w:tcW w:w="504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This unit entails teaching students how to use multiple strategies to figure out words, using prefixes and suffixes to determine unknown words, using syllables to pull words apart, using context clues to comprehend text, and to reread to check for comprehension and improve fluency</w:t>
            </w:r>
          </w:p>
        </w:tc>
        <w:tc>
          <w:tcPr>
            <w:tcW w:w="360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2.L4, 2.L2, 2.RF.3, 2.RF.4, 2.RL.7, 2.RL.10, 2.RI.4, 2.RI.10</w:t>
            </w:r>
          </w:p>
        </w:tc>
      </w:tr>
      <w:tr w:rsidR="002B54EC" w:rsidRPr="00015529" w:rsidTr="00015529">
        <w:trPr>
          <w:trHeight w:val="1160"/>
        </w:trPr>
        <w:tc>
          <w:tcPr>
            <w:tcW w:w="1885" w:type="dxa"/>
            <w:vAlign w:val="center"/>
          </w:tcPr>
          <w:p w:rsidR="002B54EC" w:rsidRPr="002410F2" w:rsidRDefault="002B54EC" w:rsidP="002410F2">
            <w:pPr>
              <w:jc w:val="center"/>
              <w:rPr>
                <w:rFonts w:ascii="Arial" w:hAnsi="Arial" w:cs="Arial"/>
                <w:sz w:val="20"/>
                <w:szCs w:val="20"/>
              </w:rPr>
            </w:pPr>
          </w:p>
          <w:p w:rsidR="002B54EC" w:rsidRPr="002410F2" w:rsidRDefault="002410F2" w:rsidP="002410F2">
            <w:pPr>
              <w:jc w:val="center"/>
              <w:rPr>
                <w:rFonts w:ascii="Arial" w:hAnsi="Arial" w:cs="Arial"/>
                <w:sz w:val="20"/>
                <w:szCs w:val="20"/>
              </w:rPr>
            </w:pPr>
            <w:r w:rsidRPr="002410F2">
              <w:rPr>
                <w:rFonts w:ascii="Arial" w:hAnsi="Arial" w:cs="Arial"/>
                <w:sz w:val="20"/>
                <w:szCs w:val="20"/>
              </w:rPr>
              <w:t>November</w:t>
            </w:r>
          </w:p>
        </w:tc>
        <w:tc>
          <w:tcPr>
            <w:tcW w:w="4410" w:type="dxa"/>
            <w:vAlign w:val="center"/>
          </w:tcPr>
          <w:p w:rsidR="002B54EC" w:rsidRPr="002410F2" w:rsidRDefault="0072078D" w:rsidP="002410F2">
            <w:pPr>
              <w:jc w:val="center"/>
              <w:rPr>
                <w:rFonts w:ascii="Arial" w:eastAsia="Times New Roman" w:hAnsi="Arial" w:cs="Arial"/>
                <w:color w:val="111111"/>
                <w:sz w:val="20"/>
                <w:szCs w:val="20"/>
              </w:rPr>
            </w:pPr>
            <w:r w:rsidRPr="002410F2">
              <w:rPr>
                <w:rFonts w:ascii="Arial" w:hAnsi="Arial" w:cs="Arial"/>
                <w:b/>
                <w:sz w:val="20"/>
                <w:szCs w:val="20"/>
              </w:rPr>
              <w:t>UNIT 3</w:t>
            </w:r>
            <w:r w:rsidRPr="002410F2">
              <w:rPr>
                <w:rFonts w:ascii="Arial" w:hAnsi="Arial" w:cs="Arial"/>
                <w:sz w:val="20"/>
                <w:szCs w:val="20"/>
              </w:rPr>
              <w:t xml:space="preserve">: </w:t>
            </w:r>
            <w:r w:rsidR="002410F2" w:rsidRPr="002410F2">
              <w:rPr>
                <w:rFonts w:ascii="Arial" w:eastAsia="Times New Roman" w:hAnsi="Arial" w:cs="Arial"/>
                <w:color w:val="111111"/>
                <w:sz w:val="20"/>
                <w:szCs w:val="20"/>
              </w:rPr>
              <w:t>Characters Face Bigger Challenges-and So Do Readers</w:t>
            </w:r>
          </w:p>
        </w:tc>
        <w:tc>
          <w:tcPr>
            <w:tcW w:w="504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This unit entails working with students to describe how characters in a story respond to major events and challenges, retelling a story in order, using appropriate voice for each character in a story, using the summary on the back of a book to predict and choose text, and determining the author’s purpose.</w:t>
            </w:r>
          </w:p>
        </w:tc>
        <w:tc>
          <w:tcPr>
            <w:tcW w:w="360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2.RF.4, 2.RL.1, 2.RL.2, 2.RL.3, 2.RL.5, 2.RL.6, 2.RL.7, 2.RL.10, 2.L.6, 2.SL.2, 3.SL.3</w:t>
            </w:r>
          </w:p>
        </w:tc>
      </w:tr>
      <w:tr w:rsidR="002B54EC" w:rsidRPr="00015529" w:rsidTr="00015529">
        <w:trPr>
          <w:trHeight w:val="1161"/>
        </w:trPr>
        <w:tc>
          <w:tcPr>
            <w:tcW w:w="1885" w:type="dxa"/>
            <w:vAlign w:val="center"/>
          </w:tcPr>
          <w:p w:rsidR="002B54EC" w:rsidRPr="002410F2" w:rsidRDefault="002B54EC" w:rsidP="002410F2">
            <w:pPr>
              <w:jc w:val="center"/>
              <w:rPr>
                <w:rFonts w:ascii="Arial" w:hAnsi="Arial" w:cs="Arial"/>
                <w:sz w:val="20"/>
                <w:szCs w:val="20"/>
              </w:rPr>
            </w:pPr>
          </w:p>
          <w:p w:rsidR="002B54EC" w:rsidRPr="002410F2" w:rsidRDefault="002410F2" w:rsidP="002410F2">
            <w:pPr>
              <w:jc w:val="center"/>
              <w:rPr>
                <w:rFonts w:ascii="Arial" w:hAnsi="Arial" w:cs="Arial"/>
                <w:sz w:val="20"/>
                <w:szCs w:val="20"/>
              </w:rPr>
            </w:pPr>
            <w:r w:rsidRPr="002410F2">
              <w:rPr>
                <w:rFonts w:ascii="Arial" w:hAnsi="Arial" w:cs="Arial"/>
                <w:sz w:val="20"/>
                <w:szCs w:val="20"/>
              </w:rPr>
              <w:t>December</w:t>
            </w:r>
          </w:p>
          <w:p w:rsidR="002B54EC" w:rsidRPr="002410F2" w:rsidRDefault="002B54EC" w:rsidP="002410F2">
            <w:pPr>
              <w:jc w:val="center"/>
              <w:rPr>
                <w:rFonts w:ascii="Arial" w:hAnsi="Arial" w:cs="Arial"/>
                <w:sz w:val="20"/>
                <w:szCs w:val="20"/>
              </w:rPr>
            </w:pPr>
          </w:p>
          <w:p w:rsidR="002B54EC" w:rsidRPr="002410F2" w:rsidRDefault="002B54EC" w:rsidP="002410F2">
            <w:pPr>
              <w:jc w:val="center"/>
              <w:rPr>
                <w:rFonts w:ascii="Arial" w:hAnsi="Arial" w:cs="Arial"/>
                <w:sz w:val="20"/>
                <w:szCs w:val="20"/>
              </w:rPr>
            </w:pPr>
          </w:p>
        </w:tc>
        <w:tc>
          <w:tcPr>
            <w:tcW w:w="4410" w:type="dxa"/>
            <w:vAlign w:val="center"/>
          </w:tcPr>
          <w:p w:rsidR="002B54EC" w:rsidRPr="002410F2" w:rsidRDefault="0072078D" w:rsidP="002410F2">
            <w:pPr>
              <w:jc w:val="center"/>
              <w:rPr>
                <w:rFonts w:ascii="Arial" w:hAnsi="Arial" w:cs="Arial"/>
                <w:sz w:val="20"/>
                <w:szCs w:val="20"/>
              </w:rPr>
            </w:pPr>
            <w:r w:rsidRPr="002410F2">
              <w:rPr>
                <w:rFonts w:ascii="Arial" w:hAnsi="Arial" w:cs="Arial"/>
                <w:b/>
                <w:sz w:val="20"/>
                <w:szCs w:val="20"/>
              </w:rPr>
              <w:t>UNIT 4:</w:t>
            </w:r>
            <w:r w:rsidRPr="002410F2">
              <w:rPr>
                <w:rFonts w:ascii="Arial" w:hAnsi="Arial" w:cs="Arial"/>
                <w:sz w:val="20"/>
                <w:szCs w:val="20"/>
              </w:rPr>
              <w:t xml:space="preserve"> </w:t>
            </w:r>
            <w:r w:rsidR="002410F2" w:rsidRPr="002410F2">
              <w:rPr>
                <w:rFonts w:ascii="Arial" w:hAnsi="Arial" w:cs="Arial"/>
                <w:color w:val="111111"/>
                <w:sz w:val="20"/>
                <w:szCs w:val="20"/>
              </w:rPr>
              <w:t xml:space="preserve">Reading </w:t>
            </w:r>
            <w:bookmarkStart w:id="0" w:name="_GoBack"/>
            <w:bookmarkEnd w:id="0"/>
            <w:r w:rsidR="002410F2" w:rsidRPr="002410F2">
              <w:rPr>
                <w:rFonts w:ascii="Arial" w:hAnsi="Arial" w:cs="Arial"/>
                <w:color w:val="111111"/>
                <w:sz w:val="20"/>
                <w:szCs w:val="20"/>
              </w:rPr>
              <w:t>Nonfiction, Reading the World</w:t>
            </w:r>
          </w:p>
        </w:tc>
        <w:tc>
          <w:tcPr>
            <w:tcW w:w="504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This unit teaches students to cross check for meaning, to use multiple word solving strategies, to collaborate during book clubs, to choose relevant topics to discuss, and to compare and contrast information across texts.</w:t>
            </w:r>
          </w:p>
        </w:tc>
        <w:tc>
          <w:tcPr>
            <w:tcW w:w="360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2.RF.3, 2.RF.4, 2.RI.1, 2.RI.2, 2.RI.4, 2.RI.5, 2.RI.6, 2.RI.7, 2.RI.9, 2.RI.10, 2.L.4, 2.L.6, 2.SL.1, 2.SL.2, 3.SL.3, 2.SL.4</w:t>
            </w:r>
          </w:p>
        </w:tc>
      </w:tr>
      <w:tr w:rsidR="002B54EC" w:rsidRPr="00015529" w:rsidTr="00015529">
        <w:trPr>
          <w:trHeight w:val="1430"/>
        </w:trPr>
        <w:tc>
          <w:tcPr>
            <w:tcW w:w="1885" w:type="dxa"/>
            <w:vAlign w:val="center"/>
          </w:tcPr>
          <w:p w:rsidR="0072078D" w:rsidRPr="002410F2" w:rsidRDefault="002410F2" w:rsidP="002410F2">
            <w:pPr>
              <w:jc w:val="center"/>
              <w:rPr>
                <w:rFonts w:ascii="Arial" w:hAnsi="Arial" w:cs="Arial"/>
                <w:sz w:val="20"/>
                <w:szCs w:val="20"/>
              </w:rPr>
            </w:pPr>
            <w:r w:rsidRPr="002410F2">
              <w:rPr>
                <w:rFonts w:ascii="Arial" w:hAnsi="Arial" w:cs="Arial"/>
                <w:sz w:val="20"/>
                <w:szCs w:val="20"/>
              </w:rPr>
              <w:t>Jan</w:t>
            </w:r>
            <w:proofErr w:type="gramStart"/>
            <w:r w:rsidRPr="002410F2">
              <w:rPr>
                <w:rFonts w:ascii="Arial" w:hAnsi="Arial" w:cs="Arial"/>
                <w:sz w:val="20"/>
                <w:szCs w:val="20"/>
              </w:rPr>
              <w:t>./</w:t>
            </w:r>
            <w:proofErr w:type="gramEnd"/>
            <w:r w:rsidRPr="002410F2">
              <w:rPr>
                <w:rFonts w:ascii="Arial" w:hAnsi="Arial" w:cs="Arial"/>
                <w:sz w:val="20"/>
                <w:szCs w:val="20"/>
              </w:rPr>
              <w:t>Feb.</w:t>
            </w:r>
          </w:p>
          <w:p w:rsidR="0072078D" w:rsidRPr="002410F2" w:rsidRDefault="0072078D" w:rsidP="002410F2">
            <w:pPr>
              <w:jc w:val="center"/>
              <w:rPr>
                <w:rFonts w:ascii="Arial" w:hAnsi="Arial" w:cs="Arial"/>
                <w:sz w:val="20"/>
                <w:szCs w:val="20"/>
              </w:rPr>
            </w:pPr>
          </w:p>
          <w:p w:rsidR="0072078D" w:rsidRPr="002410F2" w:rsidRDefault="0072078D" w:rsidP="002410F2">
            <w:pPr>
              <w:jc w:val="center"/>
              <w:rPr>
                <w:rFonts w:ascii="Arial" w:hAnsi="Arial" w:cs="Arial"/>
                <w:sz w:val="20"/>
                <w:szCs w:val="20"/>
              </w:rPr>
            </w:pPr>
          </w:p>
          <w:p w:rsidR="002B54EC" w:rsidRPr="002410F2" w:rsidRDefault="002B54EC" w:rsidP="002410F2">
            <w:pPr>
              <w:jc w:val="center"/>
              <w:rPr>
                <w:rFonts w:ascii="Arial" w:hAnsi="Arial" w:cs="Arial"/>
                <w:sz w:val="20"/>
                <w:szCs w:val="20"/>
              </w:rPr>
            </w:pPr>
          </w:p>
        </w:tc>
        <w:tc>
          <w:tcPr>
            <w:tcW w:w="4410" w:type="dxa"/>
            <w:vAlign w:val="center"/>
          </w:tcPr>
          <w:p w:rsidR="002B54EC" w:rsidRPr="002410F2" w:rsidRDefault="0072078D" w:rsidP="002410F2">
            <w:pPr>
              <w:jc w:val="center"/>
              <w:rPr>
                <w:rFonts w:ascii="Arial" w:hAnsi="Arial" w:cs="Arial"/>
                <w:sz w:val="20"/>
                <w:szCs w:val="20"/>
              </w:rPr>
            </w:pPr>
            <w:r w:rsidRPr="002410F2">
              <w:rPr>
                <w:rFonts w:ascii="Arial" w:hAnsi="Arial" w:cs="Arial"/>
                <w:b/>
                <w:sz w:val="20"/>
                <w:szCs w:val="20"/>
              </w:rPr>
              <w:t>UNIT 5:</w:t>
            </w:r>
            <w:r w:rsidRPr="002410F2">
              <w:rPr>
                <w:rFonts w:ascii="Arial" w:hAnsi="Arial" w:cs="Arial"/>
                <w:sz w:val="20"/>
                <w:szCs w:val="20"/>
              </w:rPr>
              <w:t xml:space="preserve"> </w:t>
            </w:r>
            <w:r w:rsidR="002410F2" w:rsidRPr="002410F2">
              <w:rPr>
                <w:rFonts w:ascii="Arial" w:hAnsi="Arial" w:cs="Arial"/>
                <w:color w:val="111111"/>
                <w:sz w:val="20"/>
                <w:szCs w:val="20"/>
              </w:rPr>
              <w:t>Series Reading and Cross-Genre Reading Clubs</w:t>
            </w:r>
          </w:p>
        </w:tc>
        <w:tc>
          <w:tcPr>
            <w:tcW w:w="504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 xml:space="preserve">In this unit students will figure out a series, notice patterns, predict what will happen, and be ready for </w:t>
            </w:r>
            <w:r w:rsidRPr="002410F2">
              <w:rPr>
                <w:rFonts w:ascii="Arial" w:hAnsi="Arial" w:cs="Arial"/>
                <w:color w:val="111111"/>
                <w:sz w:val="20"/>
                <w:szCs w:val="20"/>
              </w:rPr>
              <w:t>surprises?</w:t>
            </w:r>
            <w:r w:rsidRPr="002410F2">
              <w:rPr>
                <w:rFonts w:ascii="Arial" w:hAnsi="Arial" w:cs="Arial"/>
                <w:color w:val="111111"/>
                <w:sz w:val="20"/>
                <w:szCs w:val="20"/>
              </w:rPr>
              <w:t xml:space="preserve"> Use smart ideas by looking across different series, use </w:t>
            </w:r>
            <w:r w:rsidRPr="002410F2">
              <w:rPr>
                <w:rFonts w:ascii="Arial" w:hAnsi="Arial" w:cs="Arial"/>
                <w:color w:val="111111"/>
                <w:sz w:val="20"/>
                <w:szCs w:val="20"/>
              </w:rPr>
              <w:t>club</w:t>
            </w:r>
            <w:r w:rsidRPr="002410F2">
              <w:rPr>
                <w:rFonts w:ascii="Arial" w:hAnsi="Arial" w:cs="Arial"/>
                <w:color w:val="111111"/>
                <w:sz w:val="20"/>
                <w:szCs w:val="20"/>
              </w:rPr>
              <w:t xml:space="preserve"> members to push thinking, and let a series lead learning of a topic.</w:t>
            </w:r>
          </w:p>
        </w:tc>
        <w:tc>
          <w:tcPr>
            <w:tcW w:w="360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2.RL.1, 2.RL.3, 2.RL.6, 2.RL.7, 2.RL.9, 2.SL.1, 2.SL.3, 2.RI.9, 2.RI.10</w:t>
            </w:r>
          </w:p>
        </w:tc>
      </w:tr>
      <w:tr w:rsidR="002B54EC" w:rsidRPr="00015529" w:rsidTr="00015529">
        <w:tc>
          <w:tcPr>
            <w:tcW w:w="1885" w:type="dxa"/>
            <w:vAlign w:val="center"/>
          </w:tcPr>
          <w:p w:rsidR="0072078D" w:rsidRPr="002410F2" w:rsidRDefault="0072078D" w:rsidP="002410F2">
            <w:pPr>
              <w:jc w:val="center"/>
              <w:rPr>
                <w:rFonts w:ascii="Arial" w:hAnsi="Arial" w:cs="Arial"/>
                <w:sz w:val="20"/>
                <w:szCs w:val="20"/>
              </w:rPr>
            </w:pPr>
          </w:p>
          <w:p w:rsidR="002B54EC" w:rsidRPr="002410F2" w:rsidRDefault="0072078D" w:rsidP="002410F2">
            <w:pPr>
              <w:jc w:val="center"/>
              <w:rPr>
                <w:rFonts w:ascii="Arial" w:hAnsi="Arial" w:cs="Arial"/>
                <w:sz w:val="20"/>
                <w:szCs w:val="20"/>
              </w:rPr>
            </w:pPr>
            <w:r w:rsidRPr="002410F2">
              <w:rPr>
                <w:rFonts w:ascii="Arial" w:hAnsi="Arial" w:cs="Arial"/>
                <w:sz w:val="20"/>
                <w:szCs w:val="20"/>
              </w:rPr>
              <w:t>Feb</w:t>
            </w:r>
            <w:r w:rsidR="002410F2" w:rsidRPr="002410F2">
              <w:rPr>
                <w:rFonts w:ascii="Arial" w:hAnsi="Arial" w:cs="Arial"/>
                <w:sz w:val="20"/>
                <w:szCs w:val="20"/>
              </w:rPr>
              <w:t>./March</w:t>
            </w:r>
          </w:p>
        </w:tc>
        <w:tc>
          <w:tcPr>
            <w:tcW w:w="4410" w:type="dxa"/>
            <w:vAlign w:val="center"/>
          </w:tcPr>
          <w:p w:rsidR="002B54EC" w:rsidRPr="002410F2" w:rsidRDefault="0072078D" w:rsidP="002410F2">
            <w:pPr>
              <w:jc w:val="center"/>
              <w:rPr>
                <w:rFonts w:ascii="Arial" w:hAnsi="Arial" w:cs="Arial"/>
                <w:sz w:val="20"/>
                <w:szCs w:val="20"/>
              </w:rPr>
            </w:pPr>
            <w:r w:rsidRPr="002410F2">
              <w:rPr>
                <w:rFonts w:ascii="Arial" w:hAnsi="Arial" w:cs="Arial"/>
                <w:b/>
                <w:sz w:val="20"/>
                <w:szCs w:val="20"/>
              </w:rPr>
              <w:t>UNIT 6</w:t>
            </w:r>
            <w:r w:rsidRPr="002410F2">
              <w:rPr>
                <w:rFonts w:ascii="Arial" w:hAnsi="Arial" w:cs="Arial"/>
                <w:sz w:val="20"/>
                <w:szCs w:val="20"/>
              </w:rPr>
              <w:t xml:space="preserve">: </w:t>
            </w:r>
            <w:r w:rsidR="002410F2" w:rsidRPr="002410F2">
              <w:rPr>
                <w:rFonts w:ascii="Arial" w:hAnsi="Arial" w:cs="Arial"/>
                <w:color w:val="000000"/>
                <w:sz w:val="20"/>
                <w:szCs w:val="20"/>
              </w:rPr>
              <w:t>Nonfiction Reading Clubs</w:t>
            </w:r>
          </w:p>
        </w:tc>
        <w:tc>
          <w:tcPr>
            <w:tcW w:w="504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In this unit students will become strong nonfiction readers, learn to compare and contrast information, learn what an author is saying as well as form their own ideas.</w:t>
            </w:r>
          </w:p>
        </w:tc>
        <w:tc>
          <w:tcPr>
            <w:tcW w:w="3600" w:type="dxa"/>
            <w:vAlign w:val="center"/>
          </w:tcPr>
          <w:p w:rsidR="002B54EC" w:rsidRPr="002410F2" w:rsidRDefault="002410F2" w:rsidP="002410F2">
            <w:pPr>
              <w:jc w:val="center"/>
              <w:rPr>
                <w:rFonts w:ascii="Arial" w:hAnsi="Arial" w:cs="Arial"/>
                <w:sz w:val="20"/>
                <w:szCs w:val="20"/>
              </w:rPr>
            </w:pPr>
            <w:proofErr w:type="gramStart"/>
            <w:r w:rsidRPr="002410F2">
              <w:rPr>
                <w:rFonts w:ascii="Arial" w:hAnsi="Arial" w:cs="Arial"/>
                <w:color w:val="111111"/>
                <w:sz w:val="20"/>
                <w:szCs w:val="20"/>
              </w:rPr>
              <w:t>2.RI.1</w:t>
            </w:r>
            <w:proofErr w:type="gramEnd"/>
            <w:r w:rsidRPr="002410F2">
              <w:rPr>
                <w:rFonts w:ascii="Arial" w:hAnsi="Arial" w:cs="Arial"/>
                <w:color w:val="111111"/>
                <w:sz w:val="20"/>
                <w:szCs w:val="20"/>
              </w:rPr>
              <w:t>, 2.RI.2, 2.RI.4, 2.RI.5, 2.RI.6, 2.RI.7, 2.RI.8, 2.RI.9, 2.RI.10. 2.L.4, 2,L,5, 2.L.6, 2.SL.1, 2.SL.2, 2.SL.3, 2.SL.4, 2.SL.5, 2.SL.6</w:t>
            </w:r>
          </w:p>
        </w:tc>
      </w:tr>
      <w:tr w:rsidR="002B54EC" w:rsidRPr="00015529" w:rsidTr="00015529">
        <w:trPr>
          <w:trHeight w:val="35"/>
        </w:trPr>
        <w:tc>
          <w:tcPr>
            <w:tcW w:w="1885" w:type="dxa"/>
            <w:vAlign w:val="center"/>
          </w:tcPr>
          <w:p w:rsidR="0072078D" w:rsidRPr="002410F2" w:rsidRDefault="002410F2" w:rsidP="002410F2">
            <w:pPr>
              <w:jc w:val="center"/>
              <w:rPr>
                <w:rFonts w:ascii="Arial" w:hAnsi="Arial" w:cs="Arial"/>
                <w:sz w:val="20"/>
                <w:szCs w:val="20"/>
              </w:rPr>
            </w:pPr>
            <w:r w:rsidRPr="002410F2">
              <w:rPr>
                <w:rFonts w:ascii="Arial" w:hAnsi="Arial" w:cs="Arial"/>
                <w:sz w:val="20"/>
                <w:szCs w:val="20"/>
              </w:rPr>
              <w:t>April/ May</w:t>
            </w:r>
          </w:p>
          <w:p w:rsidR="0072078D" w:rsidRPr="002410F2" w:rsidRDefault="0072078D" w:rsidP="002410F2">
            <w:pPr>
              <w:jc w:val="center"/>
              <w:rPr>
                <w:rFonts w:ascii="Arial" w:hAnsi="Arial" w:cs="Arial"/>
                <w:sz w:val="20"/>
                <w:szCs w:val="20"/>
              </w:rPr>
            </w:pPr>
          </w:p>
          <w:p w:rsidR="002B54EC" w:rsidRPr="002410F2" w:rsidRDefault="002B54EC" w:rsidP="002410F2">
            <w:pPr>
              <w:jc w:val="center"/>
              <w:rPr>
                <w:rFonts w:ascii="Arial" w:hAnsi="Arial" w:cs="Arial"/>
                <w:sz w:val="20"/>
                <w:szCs w:val="20"/>
              </w:rPr>
            </w:pPr>
          </w:p>
        </w:tc>
        <w:tc>
          <w:tcPr>
            <w:tcW w:w="4410" w:type="dxa"/>
            <w:vAlign w:val="center"/>
          </w:tcPr>
          <w:p w:rsidR="0072078D" w:rsidRPr="002410F2" w:rsidRDefault="0072078D" w:rsidP="002410F2">
            <w:pPr>
              <w:jc w:val="center"/>
              <w:rPr>
                <w:rFonts w:ascii="Arial" w:hAnsi="Arial" w:cs="Arial"/>
                <w:sz w:val="20"/>
                <w:szCs w:val="20"/>
              </w:rPr>
            </w:pPr>
          </w:p>
          <w:p w:rsidR="0072078D" w:rsidRPr="002410F2" w:rsidRDefault="00015529" w:rsidP="002410F2">
            <w:pPr>
              <w:jc w:val="center"/>
              <w:rPr>
                <w:rFonts w:ascii="Arial" w:hAnsi="Arial" w:cs="Arial"/>
                <w:sz w:val="20"/>
                <w:szCs w:val="20"/>
              </w:rPr>
            </w:pPr>
            <w:r w:rsidRPr="002410F2">
              <w:rPr>
                <w:rFonts w:ascii="Arial" w:hAnsi="Arial" w:cs="Arial"/>
                <w:b/>
                <w:sz w:val="20"/>
                <w:szCs w:val="20"/>
              </w:rPr>
              <w:t xml:space="preserve">UNIT 7: </w:t>
            </w:r>
            <w:r w:rsidR="002410F2" w:rsidRPr="002410F2">
              <w:rPr>
                <w:rFonts w:ascii="Arial" w:hAnsi="Arial" w:cs="Arial"/>
                <w:color w:val="000000"/>
                <w:sz w:val="20"/>
                <w:szCs w:val="20"/>
              </w:rPr>
              <w:t>Reading and Role Playing: Fic</w:t>
            </w:r>
            <w:r w:rsidR="002410F2">
              <w:rPr>
                <w:rFonts w:ascii="Arial" w:hAnsi="Arial" w:cs="Arial"/>
                <w:color w:val="000000"/>
                <w:sz w:val="20"/>
                <w:szCs w:val="20"/>
              </w:rPr>
              <w:t>tion, Folktales, and Fairy Tales</w:t>
            </w:r>
          </w:p>
          <w:p w:rsidR="002B54EC" w:rsidRPr="002410F2" w:rsidRDefault="002B54EC" w:rsidP="002410F2">
            <w:pPr>
              <w:jc w:val="center"/>
              <w:rPr>
                <w:rFonts w:ascii="Arial" w:hAnsi="Arial" w:cs="Arial"/>
                <w:sz w:val="20"/>
                <w:szCs w:val="20"/>
              </w:rPr>
            </w:pPr>
          </w:p>
        </w:tc>
        <w:tc>
          <w:tcPr>
            <w:tcW w:w="504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In this unit students become actors. They get to know the characters and discover predictable roles. Readers recognize the morals, lessons and author's purpose of the stories</w:t>
            </w:r>
          </w:p>
        </w:tc>
        <w:tc>
          <w:tcPr>
            <w:tcW w:w="3600" w:type="dxa"/>
            <w:vAlign w:val="center"/>
          </w:tcPr>
          <w:p w:rsidR="002B54EC" w:rsidRPr="002410F2" w:rsidRDefault="002410F2" w:rsidP="002410F2">
            <w:pPr>
              <w:jc w:val="center"/>
              <w:rPr>
                <w:rFonts w:ascii="Arial" w:hAnsi="Arial" w:cs="Arial"/>
                <w:sz w:val="20"/>
                <w:szCs w:val="20"/>
              </w:rPr>
            </w:pPr>
            <w:r w:rsidRPr="002410F2">
              <w:rPr>
                <w:rFonts w:ascii="Arial" w:hAnsi="Arial" w:cs="Arial"/>
                <w:color w:val="111111"/>
                <w:sz w:val="20"/>
                <w:szCs w:val="20"/>
              </w:rPr>
              <w:t>2.RF.4, 2.RL.1, 2.RL.3, 2.RL.6, 2.RL.7, 2.RL.9, 2.RL.10</w:t>
            </w:r>
          </w:p>
        </w:tc>
      </w:tr>
      <w:tr w:rsidR="0072078D" w:rsidRPr="00015529" w:rsidTr="00015529">
        <w:trPr>
          <w:trHeight w:val="35"/>
        </w:trPr>
        <w:tc>
          <w:tcPr>
            <w:tcW w:w="1885" w:type="dxa"/>
            <w:vAlign w:val="center"/>
          </w:tcPr>
          <w:p w:rsidR="0072078D" w:rsidRPr="002410F2" w:rsidRDefault="0072078D" w:rsidP="002410F2">
            <w:pPr>
              <w:jc w:val="center"/>
              <w:rPr>
                <w:rFonts w:ascii="Arial" w:hAnsi="Arial" w:cs="Arial"/>
                <w:sz w:val="20"/>
                <w:szCs w:val="20"/>
              </w:rPr>
            </w:pPr>
          </w:p>
          <w:p w:rsidR="0072078D" w:rsidRPr="002410F2" w:rsidRDefault="0072078D" w:rsidP="002410F2">
            <w:pPr>
              <w:jc w:val="center"/>
              <w:rPr>
                <w:rFonts w:ascii="Arial" w:hAnsi="Arial" w:cs="Arial"/>
                <w:sz w:val="20"/>
                <w:szCs w:val="20"/>
              </w:rPr>
            </w:pPr>
            <w:r w:rsidRPr="002410F2">
              <w:rPr>
                <w:rFonts w:ascii="Arial" w:hAnsi="Arial" w:cs="Arial"/>
                <w:sz w:val="20"/>
                <w:szCs w:val="20"/>
              </w:rPr>
              <w:t>May</w:t>
            </w:r>
            <w:r w:rsidR="002410F2" w:rsidRPr="002410F2">
              <w:rPr>
                <w:rFonts w:ascii="Arial" w:hAnsi="Arial" w:cs="Arial"/>
                <w:sz w:val="20"/>
                <w:szCs w:val="20"/>
              </w:rPr>
              <w:t>/June</w:t>
            </w:r>
          </w:p>
          <w:p w:rsidR="0072078D" w:rsidRPr="002410F2" w:rsidRDefault="0072078D" w:rsidP="002410F2">
            <w:pPr>
              <w:jc w:val="center"/>
              <w:rPr>
                <w:rFonts w:ascii="Arial" w:hAnsi="Arial" w:cs="Arial"/>
                <w:sz w:val="20"/>
                <w:szCs w:val="20"/>
              </w:rPr>
            </w:pPr>
          </w:p>
          <w:p w:rsidR="0072078D" w:rsidRPr="002410F2" w:rsidRDefault="0072078D" w:rsidP="002410F2">
            <w:pPr>
              <w:jc w:val="center"/>
              <w:rPr>
                <w:rFonts w:ascii="Arial" w:hAnsi="Arial" w:cs="Arial"/>
                <w:sz w:val="20"/>
                <w:szCs w:val="20"/>
              </w:rPr>
            </w:pPr>
          </w:p>
        </w:tc>
        <w:tc>
          <w:tcPr>
            <w:tcW w:w="4410" w:type="dxa"/>
            <w:vAlign w:val="center"/>
          </w:tcPr>
          <w:p w:rsidR="0072078D" w:rsidRPr="002410F2" w:rsidRDefault="00015529" w:rsidP="002410F2">
            <w:pPr>
              <w:jc w:val="center"/>
              <w:rPr>
                <w:rFonts w:ascii="Arial" w:hAnsi="Arial" w:cs="Arial"/>
                <w:sz w:val="20"/>
                <w:szCs w:val="20"/>
              </w:rPr>
            </w:pPr>
            <w:r w:rsidRPr="002410F2">
              <w:rPr>
                <w:rFonts w:ascii="Arial" w:hAnsi="Arial" w:cs="Arial"/>
                <w:b/>
                <w:sz w:val="20"/>
                <w:szCs w:val="20"/>
              </w:rPr>
              <w:t xml:space="preserve">UNIT 8: </w:t>
            </w:r>
            <w:r w:rsidR="002410F2" w:rsidRPr="002410F2">
              <w:rPr>
                <w:rFonts w:ascii="Arial" w:hAnsi="Arial" w:cs="Arial"/>
                <w:color w:val="111111"/>
                <w:sz w:val="20"/>
                <w:szCs w:val="20"/>
              </w:rPr>
              <w:t>Readers Can Read about Science Topics to Become Experts</w:t>
            </w:r>
          </w:p>
          <w:p w:rsidR="0072078D" w:rsidRPr="002410F2" w:rsidRDefault="0072078D" w:rsidP="002410F2">
            <w:pPr>
              <w:jc w:val="center"/>
              <w:rPr>
                <w:rFonts w:ascii="Arial" w:hAnsi="Arial" w:cs="Arial"/>
                <w:sz w:val="20"/>
                <w:szCs w:val="20"/>
              </w:rPr>
            </w:pPr>
          </w:p>
        </w:tc>
        <w:tc>
          <w:tcPr>
            <w:tcW w:w="5040" w:type="dxa"/>
            <w:vAlign w:val="center"/>
          </w:tcPr>
          <w:p w:rsidR="0072078D" w:rsidRPr="002410F2" w:rsidRDefault="002410F2" w:rsidP="002410F2">
            <w:pPr>
              <w:jc w:val="center"/>
              <w:rPr>
                <w:rFonts w:ascii="Arial" w:hAnsi="Arial" w:cs="Arial"/>
                <w:sz w:val="20"/>
                <w:szCs w:val="20"/>
              </w:rPr>
            </w:pPr>
            <w:r w:rsidRPr="002410F2">
              <w:rPr>
                <w:rFonts w:ascii="Arial" w:hAnsi="Arial" w:cs="Arial"/>
                <w:color w:val="111111"/>
                <w:sz w:val="20"/>
                <w:szCs w:val="20"/>
              </w:rPr>
              <w:t>In this unit students learn how scientists build a base of knowledge on a topic, compare and contrast texts on the same topic, and learn by asking questions.</w:t>
            </w:r>
          </w:p>
        </w:tc>
        <w:tc>
          <w:tcPr>
            <w:tcW w:w="3600" w:type="dxa"/>
            <w:vAlign w:val="center"/>
          </w:tcPr>
          <w:p w:rsidR="0072078D" w:rsidRPr="002410F2" w:rsidRDefault="002410F2" w:rsidP="002410F2">
            <w:pPr>
              <w:jc w:val="center"/>
              <w:rPr>
                <w:rFonts w:ascii="Arial" w:hAnsi="Arial" w:cs="Arial"/>
                <w:sz w:val="20"/>
                <w:szCs w:val="20"/>
              </w:rPr>
            </w:pPr>
            <w:r w:rsidRPr="002410F2">
              <w:rPr>
                <w:rFonts w:ascii="Arial" w:hAnsi="Arial" w:cs="Arial"/>
                <w:color w:val="111111"/>
                <w:sz w:val="20"/>
                <w:szCs w:val="20"/>
              </w:rPr>
              <w:t>2.RI.1, 2.RI.2, 2.RI.4, 2.RI.5, 2.RI.6, 2.RI.7, 2.RI.8, 2.RI.9, 2.RI.10, 2.L.6</w:t>
            </w:r>
          </w:p>
        </w:tc>
      </w:tr>
    </w:tbl>
    <w:p w:rsidR="002B54EC" w:rsidRPr="00015529" w:rsidRDefault="002B54EC" w:rsidP="002410F2">
      <w:pPr>
        <w:jc w:val="center"/>
        <w:rPr>
          <w:rFonts w:ascii="Arial" w:hAnsi="Arial" w:cs="Arial"/>
        </w:rPr>
      </w:pPr>
    </w:p>
    <w:sectPr w:rsidR="002B54EC" w:rsidRPr="00015529" w:rsidSect="002B54EC">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EC"/>
    <w:rsid w:val="00015529"/>
    <w:rsid w:val="002410F2"/>
    <w:rsid w:val="002B54EC"/>
    <w:rsid w:val="0072078D"/>
    <w:rsid w:val="008A2172"/>
    <w:rsid w:val="00A256FD"/>
    <w:rsid w:val="00DB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440B-E530-46F7-836A-E8C52C2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92540">
      <w:bodyDiv w:val="1"/>
      <w:marLeft w:val="0"/>
      <w:marRight w:val="0"/>
      <w:marTop w:val="0"/>
      <w:marBottom w:val="0"/>
      <w:divBdr>
        <w:top w:val="none" w:sz="0" w:space="0" w:color="auto"/>
        <w:left w:val="none" w:sz="0" w:space="0" w:color="auto"/>
        <w:bottom w:val="none" w:sz="0" w:space="0" w:color="auto"/>
        <w:right w:val="none" w:sz="0" w:space="0" w:color="auto"/>
      </w:divBdr>
      <w:divsChild>
        <w:div w:id="1802456412">
          <w:marLeft w:val="0"/>
          <w:marRight w:val="0"/>
          <w:marTop w:val="0"/>
          <w:marBottom w:val="0"/>
          <w:divBdr>
            <w:top w:val="none" w:sz="0" w:space="0" w:color="auto"/>
            <w:left w:val="none" w:sz="0" w:space="0" w:color="auto"/>
            <w:bottom w:val="none" w:sz="0" w:space="0" w:color="auto"/>
            <w:right w:val="none" w:sz="0" w:space="0" w:color="auto"/>
          </w:divBdr>
          <w:divsChild>
            <w:div w:id="699168115">
              <w:marLeft w:val="3630"/>
              <w:marRight w:val="0"/>
              <w:marTop w:val="180"/>
              <w:marBottom w:val="0"/>
              <w:divBdr>
                <w:top w:val="none" w:sz="0" w:space="0" w:color="auto"/>
                <w:left w:val="none" w:sz="0" w:space="0" w:color="auto"/>
                <w:bottom w:val="none" w:sz="0" w:space="0" w:color="auto"/>
                <w:right w:val="none" w:sz="0" w:space="0" w:color="auto"/>
              </w:divBdr>
              <w:divsChild>
                <w:div w:id="1130515352">
                  <w:marLeft w:val="0"/>
                  <w:marRight w:val="0"/>
                  <w:marTop w:val="0"/>
                  <w:marBottom w:val="0"/>
                  <w:divBdr>
                    <w:top w:val="none" w:sz="0" w:space="0" w:color="auto"/>
                    <w:left w:val="none" w:sz="0" w:space="0" w:color="auto"/>
                    <w:bottom w:val="none" w:sz="0" w:space="0" w:color="auto"/>
                    <w:right w:val="none" w:sz="0" w:space="0" w:color="auto"/>
                  </w:divBdr>
                  <w:divsChild>
                    <w:div w:id="877935472">
                      <w:marLeft w:val="0"/>
                      <w:marRight w:val="0"/>
                      <w:marTop w:val="0"/>
                      <w:marBottom w:val="0"/>
                      <w:divBdr>
                        <w:top w:val="none" w:sz="0" w:space="0" w:color="auto"/>
                        <w:left w:val="none" w:sz="0" w:space="0" w:color="auto"/>
                        <w:bottom w:val="none" w:sz="0" w:space="0" w:color="auto"/>
                        <w:right w:val="none" w:sz="0" w:space="0" w:color="auto"/>
                      </w:divBdr>
                    </w:div>
                    <w:div w:id="1247959866">
                      <w:marLeft w:val="0"/>
                      <w:marRight w:val="0"/>
                      <w:marTop w:val="0"/>
                      <w:marBottom w:val="0"/>
                      <w:divBdr>
                        <w:top w:val="none" w:sz="0" w:space="0" w:color="auto"/>
                        <w:left w:val="none" w:sz="0" w:space="0" w:color="auto"/>
                        <w:bottom w:val="none" w:sz="0" w:space="0" w:color="auto"/>
                        <w:right w:val="none" w:sz="0" w:space="0" w:color="auto"/>
                      </w:divBdr>
                    </w:div>
                    <w:div w:id="1397706573">
                      <w:marLeft w:val="0"/>
                      <w:marRight w:val="0"/>
                      <w:marTop w:val="0"/>
                      <w:marBottom w:val="0"/>
                      <w:divBdr>
                        <w:top w:val="none" w:sz="0" w:space="0" w:color="auto"/>
                        <w:left w:val="none" w:sz="0" w:space="0" w:color="auto"/>
                        <w:bottom w:val="none" w:sz="0" w:space="0" w:color="auto"/>
                        <w:right w:val="none" w:sz="0" w:space="0" w:color="auto"/>
                      </w:divBdr>
                    </w:div>
                    <w:div w:id="1653212255">
                      <w:marLeft w:val="0"/>
                      <w:marRight w:val="0"/>
                      <w:marTop w:val="0"/>
                      <w:marBottom w:val="0"/>
                      <w:divBdr>
                        <w:top w:val="none" w:sz="0" w:space="0" w:color="auto"/>
                        <w:left w:val="none" w:sz="0" w:space="0" w:color="auto"/>
                        <w:bottom w:val="none" w:sz="0" w:space="0" w:color="auto"/>
                        <w:right w:val="none" w:sz="0" w:space="0" w:color="auto"/>
                      </w:divBdr>
                    </w:div>
                    <w:div w:id="1020163253">
                      <w:marLeft w:val="0"/>
                      <w:marRight w:val="0"/>
                      <w:marTop w:val="0"/>
                      <w:marBottom w:val="0"/>
                      <w:divBdr>
                        <w:top w:val="none" w:sz="0" w:space="0" w:color="auto"/>
                        <w:left w:val="none" w:sz="0" w:space="0" w:color="auto"/>
                        <w:bottom w:val="none" w:sz="0" w:space="0" w:color="auto"/>
                        <w:right w:val="none" w:sz="0" w:space="0" w:color="auto"/>
                      </w:divBdr>
                    </w:div>
                    <w:div w:id="1552964596">
                      <w:marLeft w:val="0"/>
                      <w:marRight w:val="0"/>
                      <w:marTop w:val="0"/>
                      <w:marBottom w:val="0"/>
                      <w:divBdr>
                        <w:top w:val="none" w:sz="0" w:space="0" w:color="auto"/>
                        <w:left w:val="none" w:sz="0" w:space="0" w:color="auto"/>
                        <w:bottom w:val="none" w:sz="0" w:space="0" w:color="auto"/>
                        <w:right w:val="none" w:sz="0" w:space="0" w:color="auto"/>
                      </w:divBdr>
                    </w:div>
                    <w:div w:id="858010135">
                      <w:marLeft w:val="0"/>
                      <w:marRight w:val="0"/>
                      <w:marTop w:val="0"/>
                      <w:marBottom w:val="0"/>
                      <w:divBdr>
                        <w:top w:val="none" w:sz="0" w:space="0" w:color="auto"/>
                        <w:left w:val="none" w:sz="0" w:space="0" w:color="auto"/>
                        <w:bottom w:val="none" w:sz="0" w:space="0" w:color="auto"/>
                        <w:right w:val="none" w:sz="0" w:space="0" w:color="auto"/>
                      </w:divBdr>
                    </w:div>
                    <w:div w:id="10286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3400-EF00-4751-9135-D395E5F1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Palmer</dc:creator>
  <cp:keywords/>
  <dc:description/>
  <cp:lastModifiedBy>Heather Palmer</cp:lastModifiedBy>
  <cp:revision>2</cp:revision>
  <cp:lastPrinted>2014-11-21T18:21:00Z</cp:lastPrinted>
  <dcterms:created xsi:type="dcterms:W3CDTF">2014-11-21T18:21:00Z</dcterms:created>
  <dcterms:modified xsi:type="dcterms:W3CDTF">2014-11-21T18:21:00Z</dcterms:modified>
</cp:coreProperties>
</file>